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E55" w:rsidRDefault="00413059" w:rsidP="00927E55">
      <w:pPr>
        <w:rPr>
          <w:rFonts w:ascii="Cambria" w:hAnsi="Cambria"/>
          <w:color w:val="0070C0"/>
          <w:sz w:val="32"/>
        </w:rPr>
      </w:pPr>
      <w:r w:rsidRPr="002A7D06">
        <w:rPr>
          <w:rFonts w:ascii="Cambria" w:hAnsi="Cambria"/>
          <w:color w:val="0070C0"/>
          <w:sz w:val="32"/>
        </w:rPr>
        <w:t xml:space="preserve">Qualified Opportunity Zone Fund </w:t>
      </w:r>
      <w:r w:rsidR="00927E55">
        <w:rPr>
          <w:rFonts w:ascii="Cambria" w:hAnsi="Cambria"/>
          <w:color w:val="0070C0"/>
          <w:sz w:val="32"/>
        </w:rPr>
        <w:t xml:space="preserve">CPA </w:t>
      </w:r>
      <w:r w:rsidRPr="002A7D06">
        <w:rPr>
          <w:rFonts w:ascii="Cambria" w:hAnsi="Cambria"/>
          <w:color w:val="0070C0"/>
          <w:sz w:val="32"/>
        </w:rPr>
        <w:t>Intake Sheet</w:t>
      </w:r>
    </w:p>
    <w:p w:rsidR="00927E55" w:rsidRPr="00927E55" w:rsidRDefault="00927E55" w:rsidP="00927E55">
      <w:pPr>
        <w:jc w:val="both"/>
        <w:rPr>
          <w:rStyle w:val="num"/>
          <w:rFonts w:ascii="Cambria" w:hAnsi="Cambria"/>
          <w:color w:val="0070C0"/>
        </w:rPr>
      </w:pPr>
      <w:r w:rsidRPr="00927E55">
        <w:t xml:space="preserve">While the benefits of </w:t>
      </w:r>
      <w:r w:rsidRPr="00927E55">
        <w:rPr>
          <w:rStyle w:val="heading"/>
        </w:rPr>
        <w:t>26 U.S. Code</w:t>
      </w:r>
      <w:r w:rsidRPr="00927E55">
        <w:t xml:space="preserve"> </w:t>
      </w:r>
      <w:r w:rsidRPr="00927E55">
        <w:rPr>
          <w:rStyle w:val="num"/>
        </w:rPr>
        <w:t xml:space="preserve">§ 1400Z–2 can be immense for those investors with larger capital gains, the code is complex and still evolving.  As such, including your CPA in the conversation early is critical and no investment should be undertaken without their involvement.  As this is very new and changing, many competent CPA’s may not have a knowledge base.  If so, </w:t>
      </w:r>
      <w:r w:rsidR="00FA6D14">
        <w:rPr>
          <w:rStyle w:val="num"/>
        </w:rPr>
        <w:t>y</w:t>
      </w:r>
      <w:r w:rsidRPr="00927E55">
        <w:rPr>
          <w:rStyle w:val="num"/>
        </w:rPr>
        <w:t>ou should undertake to find a CPA that has spent time on this</w:t>
      </w:r>
      <w:r w:rsidR="00FA6D14">
        <w:rPr>
          <w:rStyle w:val="num"/>
        </w:rPr>
        <w:t xml:space="preserve"> yet</w:t>
      </w:r>
      <w:r w:rsidRPr="00927E55">
        <w:rPr>
          <w:rStyle w:val="num"/>
        </w:rPr>
        <w:t xml:space="preserve"> still involve your CPA that knows your personal situation.  </w:t>
      </w:r>
    </w:p>
    <w:p w:rsidR="00927E55" w:rsidRPr="00927E55" w:rsidRDefault="00927E55" w:rsidP="00927E55">
      <w:pPr>
        <w:jc w:val="both"/>
      </w:pPr>
    </w:p>
    <w:p w:rsidR="00413059" w:rsidRPr="007B7DA5" w:rsidRDefault="00927E55" w:rsidP="00927E55">
      <w:pPr>
        <w:jc w:val="both"/>
        <w:rPr>
          <w:rFonts w:ascii="Cambria" w:hAnsi="Cambria"/>
          <w:i/>
          <w:sz w:val="18"/>
        </w:rPr>
      </w:pPr>
      <w:r w:rsidRPr="00927E55">
        <w:rPr>
          <w:i/>
          <w:sz w:val="18"/>
          <w:szCs w:val="18"/>
        </w:rPr>
        <w:t xml:space="preserve">Disclaimer: </w:t>
      </w:r>
      <w:r w:rsidR="00413059" w:rsidRPr="00927E55">
        <w:rPr>
          <w:i/>
          <w:sz w:val="18"/>
          <w:szCs w:val="18"/>
        </w:rPr>
        <w:t xml:space="preserve">Please </w:t>
      </w:r>
      <w:r w:rsidR="00862108" w:rsidRPr="00927E55">
        <w:rPr>
          <w:i/>
          <w:sz w:val="18"/>
          <w:szCs w:val="18"/>
        </w:rPr>
        <w:t>review</w:t>
      </w:r>
      <w:r w:rsidR="00862108">
        <w:rPr>
          <w:i/>
          <w:sz w:val="18"/>
          <w:szCs w:val="18"/>
        </w:rPr>
        <w:t xml:space="preserve"> all</w:t>
      </w:r>
      <w:r>
        <w:rPr>
          <w:i/>
          <w:sz w:val="18"/>
          <w:szCs w:val="18"/>
        </w:rPr>
        <w:t xml:space="preserve"> </w:t>
      </w:r>
      <w:r w:rsidR="00413059" w:rsidRPr="00927E55">
        <w:rPr>
          <w:i/>
          <w:sz w:val="18"/>
          <w:szCs w:val="18"/>
        </w:rPr>
        <w:t xml:space="preserve">PPM and offering documents for terms, risks, etc.  This is </w:t>
      </w:r>
      <w:r w:rsidR="00413059" w:rsidRPr="007B7DA5">
        <w:rPr>
          <w:rFonts w:ascii="Cambria" w:hAnsi="Cambria"/>
          <w:i/>
          <w:sz w:val="18"/>
        </w:rPr>
        <w:t xml:space="preserve">not a solicitation to sell, this is only intended for you to confirm qualification and timing with your tax counsel.  </w:t>
      </w:r>
      <w:r w:rsidR="0063312A">
        <w:rPr>
          <w:rFonts w:ascii="Cambria" w:hAnsi="Cambria"/>
          <w:i/>
          <w:sz w:val="18"/>
        </w:rPr>
        <w:t>Nest Opportunity Fund, Ltd.</w:t>
      </w:r>
      <w:r w:rsidR="00413059" w:rsidRPr="007B7DA5">
        <w:rPr>
          <w:rFonts w:ascii="Cambria" w:hAnsi="Cambria"/>
          <w:i/>
          <w:sz w:val="18"/>
        </w:rPr>
        <w:t xml:space="preserve"> and </w:t>
      </w:r>
      <w:r w:rsidR="002A7D06" w:rsidRPr="007B7DA5">
        <w:rPr>
          <w:rFonts w:ascii="Cambria" w:hAnsi="Cambria"/>
          <w:i/>
          <w:sz w:val="18"/>
        </w:rPr>
        <w:t>its</w:t>
      </w:r>
      <w:r w:rsidR="00413059" w:rsidRPr="007B7DA5">
        <w:rPr>
          <w:rFonts w:ascii="Cambria" w:hAnsi="Cambria"/>
          <w:i/>
          <w:sz w:val="18"/>
        </w:rPr>
        <w:t xml:space="preserve"> affiliated entities will not confirm or deny anyone’s qualification with the QOZ program in any way.</w:t>
      </w:r>
      <w:r w:rsidR="00AE503A" w:rsidRPr="007B7DA5">
        <w:rPr>
          <w:rFonts w:ascii="Cambria" w:hAnsi="Cambria"/>
          <w:i/>
          <w:sz w:val="18"/>
        </w:rPr>
        <w:t xml:space="preserve">  This is intended for use with your qualified tax counsel only.</w:t>
      </w:r>
    </w:p>
    <w:p w:rsidR="007B7DA5" w:rsidRDefault="007B7DA5">
      <w:pPr>
        <w:rPr>
          <w:rFonts w:ascii="Cambria" w:hAnsi="Cambria"/>
          <w:i/>
          <w:sz w:val="20"/>
        </w:rPr>
      </w:pPr>
    </w:p>
    <w:p w:rsidR="00927E55" w:rsidRDefault="00927E55">
      <w:pPr>
        <w:rPr>
          <w:rFonts w:ascii="Cambria" w:hAnsi="Cambria"/>
          <w:i/>
          <w:sz w:val="20"/>
        </w:rPr>
      </w:pPr>
      <w:r>
        <w:rPr>
          <w:rFonts w:ascii="Cambria" w:hAnsi="Cambria"/>
          <w:i/>
          <w:sz w:val="20"/>
        </w:rPr>
        <w:t>Resources:</w:t>
      </w:r>
    </w:p>
    <w:p w:rsidR="00927E55" w:rsidRDefault="000C3E8F">
      <w:pPr>
        <w:rPr>
          <w:rFonts w:ascii="Cambria" w:hAnsi="Cambria"/>
          <w:i/>
          <w:sz w:val="20"/>
        </w:rPr>
      </w:pPr>
      <w:hyperlink r:id="rId6" w:history="1">
        <w:r w:rsidR="00927E55" w:rsidRPr="00802FE7">
          <w:rPr>
            <w:rStyle w:val="Hyperlink"/>
            <w:rFonts w:ascii="Cambria" w:hAnsi="Cambria"/>
            <w:i/>
            <w:sz w:val="20"/>
          </w:rPr>
          <w:t>https://www.irs.gov/newsroom/opportunity-zones-frequently-asked-questionsw</w:t>
        </w:r>
      </w:hyperlink>
    </w:p>
    <w:p w:rsidR="00927E55" w:rsidRDefault="000C3E8F">
      <w:pPr>
        <w:rPr>
          <w:rFonts w:ascii="Cambria" w:hAnsi="Cambria"/>
          <w:i/>
          <w:sz w:val="20"/>
        </w:rPr>
      </w:pPr>
      <w:hyperlink r:id="rId7" w:history="1">
        <w:r w:rsidR="00927E55" w:rsidRPr="00FA6D14">
          <w:rPr>
            <w:rStyle w:val="Hyperlink"/>
            <w:rFonts w:ascii="Cambria" w:hAnsi="Cambria"/>
            <w:i/>
            <w:sz w:val="20"/>
          </w:rPr>
          <w:t>https://www.law.cornell.edu/uscode/text/26/1400Z-2</w:t>
        </w:r>
      </w:hyperlink>
    </w:p>
    <w:p w:rsidR="00927E55" w:rsidRDefault="00927E55">
      <w:pPr>
        <w:rPr>
          <w:rFonts w:ascii="Cambria" w:hAnsi="Cambria"/>
          <w:i/>
          <w:sz w:val="20"/>
        </w:rPr>
      </w:pPr>
    </w:p>
    <w:p w:rsidR="00413059" w:rsidRPr="006600CB" w:rsidRDefault="00413059" w:rsidP="003265F5">
      <w:pPr>
        <w:spacing w:line="240" w:lineRule="auto"/>
        <w:rPr>
          <w:rFonts w:ascii="Cambria" w:hAnsi="Cambria"/>
          <w:b/>
          <w:color w:val="002060"/>
        </w:rPr>
      </w:pPr>
      <w:r w:rsidRPr="006600CB">
        <w:rPr>
          <w:rFonts w:ascii="Cambria" w:hAnsi="Cambria"/>
          <w:b/>
          <w:color w:val="002060"/>
        </w:rPr>
        <w:t>Name:</w:t>
      </w:r>
      <w:r w:rsidR="007F3C46">
        <w:rPr>
          <w:rFonts w:ascii="Cambria" w:hAnsi="Cambria"/>
          <w:b/>
          <w:color w:val="002060"/>
        </w:rPr>
        <w:t xml:space="preserve">  ____________________________________________________________</w:t>
      </w:r>
    </w:p>
    <w:p w:rsidR="002A7D06" w:rsidRPr="006600CB" w:rsidRDefault="002A7D06" w:rsidP="003265F5">
      <w:pPr>
        <w:spacing w:line="240" w:lineRule="auto"/>
        <w:rPr>
          <w:rFonts w:ascii="Cambria" w:hAnsi="Cambria"/>
          <w:b/>
          <w:color w:val="002060"/>
        </w:rPr>
      </w:pPr>
    </w:p>
    <w:p w:rsidR="003265F5" w:rsidRPr="006600CB" w:rsidRDefault="00413059" w:rsidP="003265F5">
      <w:pPr>
        <w:spacing w:line="240" w:lineRule="auto"/>
        <w:rPr>
          <w:rFonts w:ascii="Cambria" w:hAnsi="Cambria"/>
          <w:b/>
          <w:color w:val="002060"/>
        </w:rPr>
      </w:pPr>
      <w:r w:rsidRPr="006600CB">
        <w:rPr>
          <w:rFonts w:ascii="Cambria" w:hAnsi="Cambria"/>
          <w:b/>
          <w:color w:val="002060"/>
        </w:rPr>
        <w:t>Date</w:t>
      </w:r>
      <w:r w:rsidR="007F3C46" w:rsidRPr="006600CB">
        <w:rPr>
          <w:rFonts w:ascii="Cambria" w:hAnsi="Cambria"/>
          <w:b/>
          <w:color w:val="002060"/>
        </w:rPr>
        <w:t>:</w:t>
      </w:r>
      <w:r w:rsidR="007F3C46">
        <w:rPr>
          <w:rFonts w:ascii="Cambria" w:hAnsi="Cambria"/>
          <w:b/>
          <w:color w:val="002060"/>
        </w:rPr>
        <w:t xml:space="preserve">  _____________________________________________________________</w:t>
      </w:r>
    </w:p>
    <w:p w:rsidR="002A7D06" w:rsidRPr="006600CB" w:rsidRDefault="002A7D06" w:rsidP="003265F5">
      <w:pPr>
        <w:spacing w:line="240" w:lineRule="auto"/>
        <w:rPr>
          <w:rFonts w:ascii="Cambria" w:hAnsi="Cambria"/>
          <w:b/>
          <w:color w:val="002060"/>
        </w:rPr>
      </w:pPr>
    </w:p>
    <w:p w:rsidR="007F3C46" w:rsidRDefault="00413059" w:rsidP="003265F5">
      <w:pPr>
        <w:spacing w:line="240" w:lineRule="auto"/>
        <w:rPr>
          <w:rFonts w:ascii="Cambria" w:hAnsi="Cambria"/>
          <w:b/>
          <w:color w:val="002060"/>
        </w:rPr>
      </w:pPr>
      <w:r w:rsidRPr="006600CB">
        <w:rPr>
          <w:rFonts w:ascii="Cambria" w:hAnsi="Cambria"/>
          <w:b/>
          <w:color w:val="002060"/>
        </w:rPr>
        <w:t>CPA/Tax Advisors Name &amp; phone number</w:t>
      </w:r>
      <w:r w:rsidR="002A7D06" w:rsidRPr="006600CB">
        <w:rPr>
          <w:rFonts w:ascii="Cambria" w:hAnsi="Cambria"/>
          <w:b/>
          <w:color w:val="002060"/>
        </w:rPr>
        <w:t>:</w:t>
      </w:r>
      <w:r w:rsidR="007F3C46">
        <w:rPr>
          <w:rFonts w:ascii="Cambria" w:hAnsi="Cambria"/>
          <w:b/>
          <w:color w:val="002060"/>
        </w:rPr>
        <w:t xml:space="preserve"> </w:t>
      </w:r>
    </w:p>
    <w:p w:rsidR="00413059" w:rsidRPr="006600CB" w:rsidRDefault="007F3C46" w:rsidP="003265F5">
      <w:pPr>
        <w:spacing w:line="240" w:lineRule="auto"/>
        <w:rPr>
          <w:rFonts w:ascii="Cambria" w:hAnsi="Cambria"/>
          <w:b/>
          <w:color w:val="002060"/>
        </w:rPr>
      </w:pPr>
      <w:r>
        <w:rPr>
          <w:rFonts w:ascii="Cambria" w:hAnsi="Cambria"/>
          <w:b/>
          <w:color w:val="002060"/>
        </w:rPr>
        <w:t>_______________________________________________________________</w:t>
      </w:r>
    </w:p>
    <w:p w:rsidR="007F3C46" w:rsidRDefault="007F3C46" w:rsidP="003265F5">
      <w:pPr>
        <w:spacing w:line="240" w:lineRule="auto"/>
        <w:rPr>
          <w:rFonts w:ascii="Cambria" w:hAnsi="Cambria"/>
          <w:b/>
          <w:color w:val="002060"/>
        </w:rPr>
      </w:pPr>
    </w:p>
    <w:p w:rsidR="00413059" w:rsidRPr="006600CB" w:rsidRDefault="00413059" w:rsidP="003265F5">
      <w:pPr>
        <w:spacing w:line="240" w:lineRule="auto"/>
        <w:rPr>
          <w:rFonts w:ascii="Cambria" w:hAnsi="Cambria"/>
          <w:b/>
          <w:color w:val="002060"/>
        </w:rPr>
      </w:pPr>
      <w:r w:rsidRPr="006600CB">
        <w:rPr>
          <w:rFonts w:ascii="Cambria" w:hAnsi="Cambria"/>
          <w:b/>
          <w:color w:val="002060"/>
        </w:rPr>
        <w:t>Do we have permission to share information with your Tax Advisor?</w:t>
      </w:r>
      <w:r w:rsidR="007F3C46">
        <w:rPr>
          <w:rFonts w:ascii="Cambria" w:hAnsi="Cambria"/>
          <w:b/>
          <w:color w:val="002060"/>
        </w:rPr>
        <w:t xml:space="preserve">       </w:t>
      </w:r>
      <w:r w:rsidR="007F3C46">
        <w:rPr>
          <w:rFonts w:ascii="Cambria" w:hAnsi="Cambria"/>
          <w:b/>
          <w:color w:val="002060"/>
        </w:rPr>
        <w:tab/>
        <w:t xml:space="preserve">     </w:t>
      </w:r>
      <w:r w:rsidR="0063312A">
        <w:rPr>
          <w:rFonts w:ascii="Cambria" w:hAnsi="Cambria"/>
          <w:b/>
          <w:color w:val="002060"/>
        </w:rPr>
        <w:t xml:space="preserve">  </w:t>
      </w:r>
      <w:proofErr w:type="gramStart"/>
      <w:r w:rsidR="007F3C46">
        <w:rPr>
          <w:rFonts w:ascii="Cambria" w:hAnsi="Cambria"/>
          <w:b/>
          <w:color w:val="002060"/>
        </w:rPr>
        <w:t>Yes  No</w:t>
      </w:r>
      <w:proofErr w:type="gramEnd"/>
    </w:p>
    <w:p w:rsidR="002A7D06" w:rsidRPr="006600CB" w:rsidRDefault="002A7D06" w:rsidP="003265F5">
      <w:pPr>
        <w:spacing w:line="240" w:lineRule="auto"/>
        <w:rPr>
          <w:rFonts w:ascii="Cambria" w:hAnsi="Cambria"/>
          <w:b/>
          <w:color w:val="002060"/>
        </w:rPr>
      </w:pPr>
    </w:p>
    <w:p w:rsidR="00413059" w:rsidRPr="006600CB" w:rsidRDefault="00413059" w:rsidP="003265F5">
      <w:pPr>
        <w:spacing w:line="240" w:lineRule="auto"/>
        <w:rPr>
          <w:rFonts w:ascii="Cambria" w:hAnsi="Cambria"/>
          <w:b/>
          <w:color w:val="002060"/>
        </w:rPr>
      </w:pPr>
      <w:r w:rsidRPr="006600CB">
        <w:rPr>
          <w:rFonts w:ascii="Cambria" w:hAnsi="Cambria"/>
          <w:b/>
          <w:color w:val="002060"/>
        </w:rPr>
        <w:t>Does your tax advisor have permission to speak and share information with us?</w:t>
      </w:r>
      <w:r w:rsidR="007F3C46">
        <w:rPr>
          <w:rFonts w:ascii="Cambria" w:hAnsi="Cambria"/>
          <w:b/>
          <w:color w:val="002060"/>
        </w:rPr>
        <w:t xml:space="preserve">  </w:t>
      </w:r>
      <w:r w:rsidR="0063312A">
        <w:rPr>
          <w:rFonts w:ascii="Cambria" w:hAnsi="Cambria"/>
          <w:b/>
          <w:color w:val="002060"/>
        </w:rPr>
        <w:t xml:space="preserve">  </w:t>
      </w:r>
      <w:r w:rsidR="007F3C46">
        <w:rPr>
          <w:rFonts w:ascii="Cambria" w:hAnsi="Cambria"/>
          <w:b/>
          <w:color w:val="002060"/>
        </w:rPr>
        <w:t xml:space="preserve"> </w:t>
      </w:r>
      <w:proofErr w:type="gramStart"/>
      <w:r w:rsidR="007F3C46">
        <w:rPr>
          <w:rFonts w:ascii="Cambria" w:hAnsi="Cambria"/>
          <w:b/>
          <w:color w:val="002060"/>
        </w:rPr>
        <w:t>Yes  No</w:t>
      </w:r>
      <w:proofErr w:type="gramEnd"/>
    </w:p>
    <w:p w:rsidR="002A7D06" w:rsidRPr="006600CB" w:rsidRDefault="002A7D06" w:rsidP="003265F5">
      <w:pPr>
        <w:spacing w:line="240" w:lineRule="auto"/>
        <w:rPr>
          <w:rFonts w:ascii="Cambria" w:hAnsi="Cambria"/>
          <w:b/>
          <w:color w:val="002060"/>
        </w:rPr>
      </w:pPr>
    </w:p>
    <w:p w:rsidR="00413059" w:rsidRPr="006600CB" w:rsidRDefault="00413059" w:rsidP="003265F5">
      <w:pPr>
        <w:spacing w:line="240" w:lineRule="auto"/>
        <w:rPr>
          <w:rFonts w:ascii="Cambria" w:hAnsi="Cambria"/>
          <w:b/>
          <w:color w:val="002060"/>
        </w:rPr>
      </w:pPr>
      <w:r w:rsidRPr="006600CB">
        <w:rPr>
          <w:rFonts w:ascii="Cambria" w:hAnsi="Cambria"/>
          <w:b/>
          <w:color w:val="002060"/>
        </w:rPr>
        <w:t>Total Amount of Capital Gain &amp; Capital Gain type:</w:t>
      </w:r>
    </w:p>
    <w:tbl>
      <w:tblPr>
        <w:tblStyle w:val="TableGrid"/>
        <w:tblW w:w="0" w:type="auto"/>
        <w:tblLook w:val="04A0" w:firstRow="1" w:lastRow="0" w:firstColumn="1" w:lastColumn="0" w:noHBand="0" w:noVBand="1"/>
      </w:tblPr>
      <w:tblGrid>
        <w:gridCol w:w="4675"/>
        <w:gridCol w:w="4675"/>
      </w:tblGrid>
      <w:tr w:rsidR="007F3C46" w:rsidTr="007F3C46">
        <w:tc>
          <w:tcPr>
            <w:tcW w:w="4675" w:type="dxa"/>
          </w:tcPr>
          <w:p w:rsidR="007F3C46" w:rsidRPr="007F3C46" w:rsidRDefault="007F3C46" w:rsidP="007F3C46">
            <w:pPr>
              <w:jc w:val="right"/>
              <w:rPr>
                <w:rFonts w:ascii="Cambria" w:hAnsi="Cambria"/>
                <w:color w:val="002060"/>
              </w:rPr>
            </w:pPr>
            <w:r w:rsidRPr="007F3C46">
              <w:rPr>
                <w:rFonts w:ascii="Cambria" w:hAnsi="Cambria"/>
                <w:color w:val="002060"/>
              </w:rPr>
              <w:t>Capital Gain</w:t>
            </w:r>
          </w:p>
        </w:tc>
        <w:tc>
          <w:tcPr>
            <w:tcW w:w="4675" w:type="dxa"/>
          </w:tcPr>
          <w:p w:rsidR="007F3C46" w:rsidRDefault="007F3C46" w:rsidP="007F3C46">
            <w:pPr>
              <w:rPr>
                <w:rFonts w:ascii="Cambria" w:hAnsi="Cambria"/>
                <w:b/>
                <w:color w:val="002060"/>
              </w:rPr>
            </w:pPr>
          </w:p>
        </w:tc>
      </w:tr>
      <w:tr w:rsidR="007F3C46" w:rsidTr="007F3C46">
        <w:tc>
          <w:tcPr>
            <w:tcW w:w="4675" w:type="dxa"/>
          </w:tcPr>
          <w:p w:rsidR="007F3C46" w:rsidRPr="007F3C46" w:rsidRDefault="007F3C46" w:rsidP="007F3C46">
            <w:pPr>
              <w:jc w:val="right"/>
              <w:rPr>
                <w:rFonts w:ascii="Cambria" w:hAnsi="Cambria"/>
                <w:color w:val="002060"/>
              </w:rPr>
            </w:pPr>
            <w:r w:rsidRPr="007F3C46">
              <w:rPr>
                <w:rFonts w:ascii="Cambria" w:hAnsi="Cambria"/>
                <w:color w:val="002060"/>
              </w:rPr>
              <w:t>Section 1231 capital gain (netted)</w:t>
            </w:r>
          </w:p>
        </w:tc>
        <w:tc>
          <w:tcPr>
            <w:tcW w:w="4675" w:type="dxa"/>
          </w:tcPr>
          <w:p w:rsidR="007F3C46" w:rsidRDefault="007F3C46" w:rsidP="007F3C46">
            <w:pPr>
              <w:rPr>
                <w:rFonts w:ascii="Cambria" w:hAnsi="Cambria"/>
                <w:b/>
                <w:color w:val="002060"/>
              </w:rPr>
            </w:pPr>
          </w:p>
        </w:tc>
      </w:tr>
      <w:tr w:rsidR="007F3C46" w:rsidTr="007F3C46">
        <w:tc>
          <w:tcPr>
            <w:tcW w:w="4675" w:type="dxa"/>
          </w:tcPr>
          <w:p w:rsidR="007F3C46" w:rsidRPr="007F3C46" w:rsidRDefault="007F3C46" w:rsidP="007F3C46">
            <w:pPr>
              <w:jc w:val="right"/>
              <w:rPr>
                <w:rFonts w:ascii="Cambria" w:hAnsi="Cambria"/>
                <w:color w:val="002060"/>
              </w:rPr>
            </w:pPr>
            <w:r w:rsidRPr="007F3C46">
              <w:rPr>
                <w:rFonts w:ascii="Cambria" w:hAnsi="Cambria"/>
                <w:color w:val="002060"/>
              </w:rPr>
              <w:t>Section 1250 Unrecaptured capital gain</w:t>
            </w:r>
          </w:p>
        </w:tc>
        <w:tc>
          <w:tcPr>
            <w:tcW w:w="4675" w:type="dxa"/>
          </w:tcPr>
          <w:p w:rsidR="007F3C46" w:rsidRDefault="007F3C46" w:rsidP="007F3C46">
            <w:pPr>
              <w:rPr>
                <w:rFonts w:ascii="Cambria" w:hAnsi="Cambria"/>
                <w:b/>
                <w:color w:val="002060"/>
              </w:rPr>
            </w:pPr>
          </w:p>
        </w:tc>
      </w:tr>
      <w:tr w:rsidR="007F3C46" w:rsidTr="007F3C46">
        <w:tc>
          <w:tcPr>
            <w:tcW w:w="4675" w:type="dxa"/>
          </w:tcPr>
          <w:p w:rsidR="007F3C46" w:rsidRPr="007F3C46" w:rsidRDefault="007F3C46" w:rsidP="007F3C46">
            <w:pPr>
              <w:jc w:val="right"/>
              <w:rPr>
                <w:rFonts w:ascii="Cambria" w:hAnsi="Cambria"/>
                <w:color w:val="002060"/>
              </w:rPr>
            </w:pPr>
            <w:r w:rsidRPr="007F3C46">
              <w:rPr>
                <w:rFonts w:ascii="Cambria" w:hAnsi="Cambria"/>
                <w:color w:val="002060"/>
              </w:rPr>
              <w:t>Other</w:t>
            </w:r>
          </w:p>
        </w:tc>
        <w:tc>
          <w:tcPr>
            <w:tcW w:w="4675" w:type="dxa"/>
          </w:tcPr>
          <w:p w:rsidR="007F3C46" w:rsidRDefault="007F3C46" w:rsidP="007F3C46">
            <w:pPr>
              <w:rPr>
                <w:rFonts w:ascii="Cambria" w:hAnsi="Cambria"/>
                <w:b/>
                <w:color w:val="002060"/>
              </w:rPr>
            </w:pPr>
          </w:p>
        </w:tc>
      </w:tr>
      <w:tr w:rsidR="007F3C46" w:rsidTr="007F3C46">
        <w:tc>
          <w:tcPr>
            <w:tcW w:w="4675" w:type="dxa"/>
          </w:tcPr>
          <w:p w:rsidR="007F3C46" w:rsidRDefault="007F3C46" w:rsidP="007F3C46">
            <w:pPr>
              <w:jc w:val="right"/>
              <w:rPr>
                <w:rFonts w:ascii="Cambria" w:hAnsi="Cambria"/>
                <w:b/>
                <w:color w:val="002060"/>
              </w:rPr>
            </w:pPr>
            <w:r>
              <w:rPr>
                <w:rFonts w:ascii="Cambria" w:hAnsi="Cambria"/>
                <w:b/>
                <w:color w:val="002060"/>
              </w:rPr>
              <w:t>Total</w:t>
            </w:r>
          </w:p>
        </w:tc>
        <w:tc>
          <w:tcPr>
            <w:tcW w:w="4675" w:type="dxa"/>
          </w:tcPr>
          <w:p w:rsidR="007F3C46" w:rsidRDefault="007F3C46" w:rsidP="007F3C46">
            <w:pPr>
              <w:rPr>
                <w:rFonts w:ascii="Cambria" w:hAnsi="Cambria"/>
                <w:b/>
                <w:color w:val="002060"/>
              </w:rPr>
            </w:pPr>
          </w:p>
        </w:tc>
      </w:tr>
    </w:tbl>
    <w:p w:rsidR="007F3C46" w:rsidRPr="006600CB" w:rsidRDefault="007F3C46" w:rsidP="007F3C46">
      <w:pPr>
        <w:spacing w:line="240" w:lineRule="auto"/>
        <w:rPr>
          <w:rFonts w:ascii="Cambria" w:hAnsi="Cambria"/>
          <w:b/>
          <w:color w:val="002060"/>
        </w:rPr>
      </w:pPr>
    </w:p>
    <w:p w:rsidR="003265F5" w:rsidRPr="006600CB" w:rsidRDefault="003265F5">
      <w:pPr>
        <w:rPr>
          <w:rFonts w:ascii="Cambria" w:hAnsi="Cambria"/>
          <w:b/>
          <w:color w:val="002060"/>
          <w:sz w:val="24"/>
        </w:rPr>
      </w:pPr>
    </w:p>
    <w:p w:rsidR="003265F5" w:rsidRDefault="00413059" w:rsidP="003265F5">
      <w:pPr>
        <w:spacing w:line="240" w:lineRule="auto"/>
        <w:rPr>
          <w:rFonts w:ascii="Cambria" w:hAnsi="Cambria"/>
          <w:b/>
          <w:color w:val="002060"/>
        </w:rPr>
      </w:pPr>
      <w:r w:rsidRPr="006600CB">
        <w:rPr>
          <w:rFonts w:ascii="Cambria" w:hAnsi="Cambria"/>
          <w:b/>
          <w:color w:val="002060"/>
        </w:rPr>
        <w:t>Section 1231 Capital Gain</w:t>
      </w:r>
      <w:r w:rsidR="00927E55">
        <w:rPr>
          <w:rFonts w:ascii="Cambria" w:hAnsi="Cambria"/>
          <w:b/>
          <w:color w:val="002060"/>
        </w:rPr>
        <w:t xml:space="preserve"> Amount</w:t>
      </w:r>
      <w:r w:rsidRPr="006600CB">
        <w:rPr>
          <w:rFonts w:ascii="Cambria" w:hAnsi="Cambria"/>
          <w:b/>
          <w:color w:val="002060"/>
        </w:rPr>
        <w:t>:</w:t>
      </w:r>
    </w:p>
    <w:p w:rsidR="00927E55" w:rsidRPr="00927E55" w:rsidRDefault="000C3E8F" w:rsidP="00340DA8">
      <w:pPr>
        <w:pStyle w:val="Heading4"/>
        <w:ind w:left="720"/>
        <w:rPr>
          <w:i/>
          <w:sz w:val="18"/>
          <w:szCs w:val="18"/>
        </w:rPr>
      </w:pPr>
      <w:hyperlink r:id="rId8" w:anchor="collapseCollapsible1566569543268" w:history="1">
        <w:r w:rsidR="00927E55" w:rsidRPr="00927E55">
          <w:rPr>
            <w:rStyle w:val="Hyperlink"/>
            <w:i/>
            <w:sz w:val="18"/>
            <w:szCs w:val="18"/>
          </w:rPr>
          <w:t>Q. Can I defer sect</w:t>
        </w:r>
        <w:r w:rsidR="00927E55" w:rsidRPr="00927E55">
          <w:rPr>
            <w:rStyle w:val="Hyperlink"/>
            <w:i/>
            <w:sz w:val="18"/>
            <w:szCs w:val="18"/>
          </w:rPr>
          <w:t>i</w:t>
        </w:r>
        <w:r w:rsidR="00927E55" w:rsidRPr="00927E55">
          <w:rPr>
            <w:rStyle w:val="Hyperlink"/>
            <w:i/>
            <w:sz w:val="18"/>
            <w:szCs w:val="18"/>
          </w:rPr>
          <w:t>on 1231 capital gain</w:t>
        </w:r>
        <w:r w:rsidR="0063312A">
          <w:rPr>
            <w:rStyle w:val="Hyperlink"/>
            <w:i/>
            <w:sz w:val="18"/>
            <w:szCs w:val="18"/>
          </w:rPr>
          <w:t xml:space="preserve">                   </w:t>
        </w:r>
        <w:r w:rsidR="00927E55" w:rsidRPr="00927E55">
          <w:rPr>
            <w:rStyle w:val="Hyperlink"/>
            <w:i/>
            <w:sz w:val="18"/>
            <w:szCs w:val="18"/>
          </w:rPr>
          <w:t xml:space="preserve"> net income for a taxable year under the opportunity zone rules?</w:t>
        </w:r>
      </w:hyperlink>
      <w:r w:rsidR="0063312A">
        <w:rPr>
          <w:rStyle w:val="Hyperlink"/>
          <w:i/>
          <w:sz w:val="18"/>
          <w:szCs w:val="18"/>
        </w:rPr>
        <w:t xml:space="preserve"> (IRS FAQ)</w:t>
      </w:r>
      <w:bookmarkStart w:id="0" w:name="_GoBack"/>
      <w:bookmarkEnd w:id="0"/>
    </w:p>
    <w:p w:rsidR="00927E55" w:rsidRPr="00927E55" w:rsidRDefault="00927E55" w:rsidP="0063312A">
      <w:pPr>
        <w:pStyle w:val="NormalWeb"/>
        <w:ind w:left="720"/>
        <w:rPr>
          <w:i/>
          <w:sz w:val="18"/>
          <w:szCs w:val="18"/>
        </w:rPr>
      </w:pPr>
      <w:r w:rsidRPr="00927E55">
        <w:rPr>
          <w:rStyle w:val="Strong"/>
          <w:i/>
          <w:sz w:val="18"/>
          <w:szCs w:val="18"/>
        </w:rPr>
        <w:t>A.</w:t>
      </w:r>
      <w:r w:rsidRPr="00927E55">
        <w:rPr>
          <w:i/>
          <w:sz w:val="18"/>
          <w:szCs w:val="18"/>
        </w:rPr>
        <w:t xml:space="preserve"> Yes.  If a taxpayer’s section 1231 gains for any taxable year exceed the section 1231 losses for that year, the net gain is long-term capital gain.  A taxpayer can elect to defer some or all of this capital gain under section 1400Z-2 by making an investment of a corresponding amount in a Qualified Opportunity Fund (QOF) during the 180-day period that begins on the last day of the taxpayer’s taxable year.</w:t>
      </w:r>
    </w:p>
    <w:p w:rsidR="00FA6D14" w:rsidRPr="006600CB" w:rsidRDefault="00FA6D14" w:rsidP="003265F5">
      <w:pPr>
        <w:spacing w:line="240" w:lineRule="auto"/>
        <w:rPr>
          <w:rFonts w:ascii="Cambria" w:hAnsi="Cambria"/>
          <w:b/>
          <w:color w:val="002060"/>
        </w:rPr>
      </w:pPr>
    </w:p>
    <w:p w:rsidR="00AE503A" w:rsidRPr="006600CB" w:rsidRDefault="00AE503A" w:rsidP="003265F5">
      <w:pPr>
        <w:spacing w:line="240" w:lineRule="auto"/>
        <w:rPr>
          <w:rFonts w:ascii="Cambria" w:hAnsi="Cambria"/>
          <w:b/>
          <w:color w:val="002060"/>
        </w:rPr>
      </w:pPr>
      <w:r w:rsidRPr="006600CB">
        <w:rPr>
          <w:rFonts w:ascii="Cambria" w:hAnsi="Cambria"/>
          <w:b/>
          <w:color w:val="002060"/>
        </w:rPr>
        <w:t>When is your year end to net 1231 gains?</w:t>
      </w:r>
      <w:r w:rsidR="007F3C46">
        <w:rPr>
          <w:rFonts w:ascii="Cambria" w:hAnsi="Cambria"/>
          <w:b/>
          <w:color w:val="002060"/>
        </w:rPr>
        <w:t xml:space="preserve">  ____________________________________________________________</w:t>
      </w:r>
    </w:p>
    <w:p w:rsidR="002A7D06" w:rsidRPr="006600CB" w:rsidRDefault="002A7D06" w:rsidP="003265F5">
      <w:pPr>
        <w:spacing w:line="240" w:lineRule="auto"/>
        <w:rPr>
          <w:rFonts w:ascii="Cambria" w:hAnsi="Cambria"/>
          <w:b/>
          <w:color w:val="002060"/>
        </w:rPr>
      </w:pPr>
    </w:p>
    <w:p w:rsidR="00AE503A" w:rsidRPr="006600CB" w:rsidRDefault="00AE503A" w:rsidP="003265F5">
      <w:pPr>
        <w:spacing w:line="240" w:lineRule="auto"/>
        <w:rPr>
          <w:rFonts w:ascii="Cambria" w:hAnsi="Cambria"/>
          <w:b/>
          <w:color w:val="002060"/>
        </w:rPr>
      </w:pPr>
      <w:r w:rsidRPr="006600CB">
        <w:rPr>
          <w:rFonts w:ascii="Cambria" w:hAnsi="Cambria"/>
          <w:b/>
          <w:color w:val="002060"/>
        </w:rPr>
        <w:t>Do you anticipate capital losses that you can use to offset these capital gains (and not be forced to write o</w:t>
      </w:r>
      <w:r w:rsidR="00621D85" w:rsidRPr="006600CB">
        <w:rPr>
          <w:rFonts w:ascii="Cambria" w:hAnsi="Cambria"/>
          <w:b/>
          <w:color w:val="002060"/>
        </w:rPr>
        <w:t>ff only $3k/year going forward)?</w:t>
      </w:r>
    </w:p>
    <w:p w:rsidR="002A7D06" w:rsidRDefault="007F3C46" w:rsidP="007F3C46">
      <w:pPr>
        <w:spacing w:line="240" w:lineRule="auto"/>
        <w:ind w:firstLine="720"/>
        <w:rPr>
          <w:rFonts w:ascii="Cambria" w:hAnsi="Cambria"/>
          <w:b/>
          <w:color w:val="002060"/>
        </w:rPr>
      </w:pPr>
      <w:proofErr w:type="gramStart"/>
      <w:r>
        <w:rPr>
          <w:rFonts w:ascii="Cambria" w:hAnsi="Cambria"/>
          <w:b/>
          <w:color w:val="002060"/>
        </w:rPr>
        <w:t>Yes  No</w:t>
      </w:r>
      <w:proofErr w:type="gramEnd"/>
    </w:p>
    <w:p w:rsidR="00927E55" w:rsidRPr="006600CB" w:rsidRDefault="00927E55" w:rsidP="003265F5">
      <w:pPr>
        <w:spacing w:line="240" w:lineRule="auto"/>
        <w:rPr>
          <w:rFonts w:ascii="Cambria" w:hAnsi="Cambria"/>
          <w:b/>
          <w:color w:val="002060"/>
        </w:rPr>
      </w:pPr>
    </w:p>
    <w:p w:rsidR="004926AE" w:rsidRPr="006600CB" w:rsidRDefault="004926AE" w:rsidP="003265F5">
      <w:pPr>
        <w:spacing w:line="240" w:lineRule="auto"/>
        <w:rPr>
          <w:rFonts w:ascii="Cambria" w:hAnsi="Cambria"/>
          <w:b/>
          <w:color w:val="002060"/>
        </w:rPr>
      </w:pPr>
      <w:r w:rsidRPr="006600CB">
        <w:rPr>
          <w:rFonts w:ascii="Cambria" w:hAnsi="Cambria"/>
          <w:b/>
          <w:color w:val="002060"/>
        </w:rPr>
        <w:t xml:space="preserve">Will you have </w:t>
      </w:r>
      <w:proofErr w:type="spellStart"/>
      <w:r w:rsidRPr="006600CB">
        <w:rPr>
          <w:rFonts w:ascii="Cambria" w:hAnsi="Cambria"/>
          <w:b/>
          <w:color w:val="002060"/>
        </w:rPr>
        <w:t>add’l</w:t>
      </w:r>
      <w:proofErr w:type="spellEnd"/>
      <w:r w:rsidRPr="006600CB">
        <w:rPr>
          <w:rFonts w:ascii="Cambria" w:hAnsi="Cambria"/>
          <w:b/>
          <w:color w:val="002060"/>
        </w:rPr>
        <w:t xml:space="preserve"> cash to pay cap gains in 2026? (</w:t>
      </w:r>
      <w:r w:rsidR="00621D85" w:rsidRPr="006600CB">
        <w:rPr>
          <w:rFonts w:ascii="Cambria" w:hAnsi="Cambria"/>
          <w:b/>
          <w:color w:val="002060"/>
        </w:rPr>
        <w:t>15% basis added reduces by 15%)</w:t>
      </w:r>
    </w:p>
    <w:p w:rsidR="004926AE" w:rsidRDefault="007F3C46" w:rsidP="007F3C46">
      <w:pPr>
        <w:ind w:firstLine="720"/>
      </w:pPr>
      <w:proofErr w:type="gramStart"/>
      <w:r>
        <w:rPr>
          <w:rFonts w:ascii="Cambria" w:hAnsi="Cambria"/>
          <w:b/>
          <w:color w:val="002060"/>
        </w:rPr>
        <w:t>Yes  No</w:t>
      </w:r>
      <w:proofErr w:type="gramEnd"/>
    </w:p>
    <w:sectPr w:rsidR="004926A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8F" w:rsidRDefault="000C3E8F" w:rsidP="002A7D06">
      <w:pPr>
        <w:spacing w:after="0" w:line="240" w:lineRule="auto"/>
      </w:pPr>
      <w:r>
        <w:separator/>
      </w:r>
    </w:p>
  </w:endnote>
  <w:endnote w:type="continuationSeparator" w:id="0">
    <w:p w:rsidR="000C3E8F" w:rsidRDefault="000C3E8F" w:rsidP="002A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06" w:rsidRDefault="002A7D06">
    <w:pPr>
      <w:pStyle w:val="Foote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33655</wp:posOffset>
              </wp:positionV>
              <wp:extent cx="6774180" cy="358140"/>
              <wp:effectExtent l="0" t="0" r="7620" b="3810"/>
              <wp:wrapNone/>
              <wp:docPr id="5" name="Rectangle 5"/>
              <wp:cNvGraphicFramePr/>
              <a:graphic xmlns:a="http://schemas.openxmlformats.org/drawingml/2006/main">
                <a:graphicData uri="http://schemas.microsoft.com/office/word/2010/wordprocessingShape">
                  <wps:wsp>
                    <wps:cNvSpPr/>
                    <wps:spPr>
                      <a:xfrm>
                        <a:off x="0" y="0"/>
                        <a:ext cx="6774180" cy="35814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41D09" id="Rectangle 5" o:spid="_x0000_s1026" style="position:absolute;margin-left:0;margin-top:2.65pt;width:533.4pt;height:28.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" fillcolor="#002060" stroked="f" strokeweight="1pt">
              <w10:wrap anchorx="margin"/>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178435</wp:posOffset>
              </wp:positionV>
              <wp:extent cx="63246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324600" cy="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F9AA11" id="Straight Connector 6"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05pt" to="49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" strokecolor="#0070c0" strokeweight="3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8F" w:rsidRDefault="000C3E8F" w:rsidP="002A7D06">
      <w:pPr>
        <w:spacing w:after="0" w:line="240" w:lineRule="auto"/>
      </w:pPr>
      <w:r>
        <w:separator/>
      </w:r>
    </w:p>
  </w:footnote>
  <w:footnote w:type="continuationSeparator" w:id="0">
    <w:p w:rsidR="000C3E8F" w:rsidRDefault="000C3E8F" w:rsidP="002A7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C46" w:rsidRDefault="0063312A" w:rsidP="007F3C46">
    <w:pPr>
      <w:pStyle w:val="Header"/>
      <w:jc w:val="right"/>
    </w:pPr>
    <w:r w:rsidRPr="0063312A">
      <w:rPr>
        <w:noProof/>
      </w:rPr>
      <w:drawing>
        <wp:inline distT="0" distB="0" distL="0" distR="0">
          <wp:extent cx="1143000" cy="539496"/>
          <wp:effectExtent l="0" t="0" r="0" b="0"/>
          <wp:docPr id="2" name="Picture 2" descr="C:\Users\Clint Edgington\Dropbox (Beacon Hill)\Opportunity Zone Fund\Marketing\Logo\nest-opportunity-fun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nt Edgington\Dropbox (Beacon Hill)\Opportunity Zone Fund\Marketing\Logo\nest-opportunity-fun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39496"/>
                  </a:xfrm>
                  <a:prstGeom prst="rect">
                    <a:avLst/>
                  </a:prstGeom>
                  <a:noFill/>
                  <a:ln>
                    <a:noFill/>
                  </a:ln>
                </pic:spPr>
              </pic:pic>
            </a:graphicData>
          </a:graphic>
        </wp:inline>
      </w:drawing>
    </w:r>
    <w:sdt>
      <w:sdtPr>
        <w:id w:val="-1325666803"/>
        <w:docPartObj>
          <w:docPartGallery w:val="Watermarks"/>
          <w:docPartUnique/>
        </w:docPartObj>
      </w:sdtPr>
      <w:sdtEndPr/>
      <w:sdtContent>
        <w:r w:rsidR="000C3E8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7728;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7F3C46" w:rsidRPr="007F3C4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60"/>
    <w:rsid w:val="00065904"/>
    <w:rsid w:val="000C3E8F"/>
    <w:rsid w:val="000E57C2"/>
    <w:rsid w:val="00265778"/>
    <w:rsid w:val="002A7D06"/>
    <w:rsid w:val="003265F5"/>
    <w:rsid w:val="00340DA8"/>
    <w:rsid w:val="00413059"/>
    <w:rsid w:val="004926AE"/>
    <w:rsid w:val="005B336A"/>
    <w:rsid w:val="00621D85"/>
    <w:rsid w:val="0063312A"/>
    <w:rsid w:val="006600CB"/>
    <w:rsid w:val="00720DB4"/>
    <w:rsid w:val="007B7DA5"/>
    <w:rsid w:val="007F3C46"/>
    <w:rsid w:val="00862108"/>
    <w:rsid w:val="00927E55"/>
    <w:rsid w:val="00A43B6C"/>
    <w:rsid w:val="00A66BBD"/>
    <w:rsid w:val="00AE503A"/>
    <w:rsid w:val="00C47442"/>
    <w:rsid w:val="00CA261E"/>
    <w:rsid w:val="00CC643C"/>
    <w:rsid w:val="00D11F60"/>
    <w:rsid w:val="00F46BAB"/>
    <w:rsid w:val="00FA6D14"/>
    <w:rsid w:val="00FF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845735"/>
  <w15:chartTrackingRefBased/>
  <w15:docId w15:val="{201A1BBE-290C-449C-B0A0-AF004976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7E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927E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D06"/>
  </w:style>
  <w:style w:type="paragraph" w:styleId="Footer">
    <w:name w:val="footer"/>
    <w:basedOn w:val="Normal"/>
    <w:link w:val="FooterChar"/>
    <w:uiPriority w:val="99"/>
    <w:unhideWhenUsed/>
    <w:rsid w:val="002A7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D06"/>
  </w:style>
  <w:style w:type="character" w:styleId="Hyperlink">
    <w:name w:val="Hyperlink"/>
    <w:basedOn w:val="DefaultParagraphFont"/>
    <w:uiPriority w:val="99"/>
    <w:unhideWhenUsed/>
    <w:rsid w:val="00927E55"/>
    <w:rPr>
      <w:color w:val="0563C1" w:themeColor="hyperlink"/>
      <w:u w:val="single"/>
    </w:rPr>
  </w:style>
  <w:style w:type="character" w:customStyle="1" w:styleId="Heading4Char">
    <w:name w:val="Heading 4 Char"/>
    <w:basedOn w:val="DefaultParagraphFont"/>
    <w:link w:val="Heading4"/>
    <w:uiPriority w:val="9"/>
    <w:rsid w:val="00927E5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27E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E55"/>
    <w:rPr>
      <w:b/>
      <w:bCs/>
    </w:rPr>
  </w:style>
  <w:style w:type="character" w:customStyle="1" w:styleId="Heading1Char">
    <w:name w:val="Heading 1 Char"/>
    <w:basedOn w:val="DefaultParagraphFont"/>
    <w:link w:val="Heading1"/>
    <w:uiPriority w:val="9"/>
    <w:rsid w:val="00927E55"/>
    <w:rPr>
      <w:rFonts w:asciiTheme="majorHAnsi" w:eastAsiaTheme="majorEastAsia" w:hAnsiTheme="majorHAnsi" w:cstheme="majorBidi"/>
      <w:color w:val="2E74B5" w:themeColor="accent1" w:themeShade="BF"/>
      <w:sz w:val="32"/>
      <w:szCs w:val="32"/>
    </w:rPr>
  </w:style>
  <w:style w:type="character" w:customStyle="1" w:styleId="heading">
    <w:name w:val="heading"/>
    <w:basedOn w:val="DefaultParagraphFont"/>
    <w:rsid w:val="00927E55"/>
  </w:style>
  <w:style w:type="character" w:customStyle="1" w:styleId="num">
    <w:name w:val="num"/>
    <w:basedOn w:val="DefaultParagraphFont"/>
    <w:rsid w:val="00927E55"/>
  </w:style>
  <w:style w:type="table" w:styleId="TableGrid">
    <w:name w:val="Table Grid"/>
    <w:basedOn w:val="TableNormal"/>
    <w:uiPriority w:val="39"/>
    <w:rsid w:val="007F3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12A"/>
    <w:rPr>
      <w:rFonts w:ascii="Segoe UI" w:hAnsi="Segoe UI" w:cs="Segoe UI"/>
      <w:sz w:val="18"/>
      <w:szCs w:val="18"/>
    </w:rPr>
  </w:style>
  <w:style w:type="character" w:styleId="FollowedHyperlink">
    <w:name w:val="FollowedHyperlink"/>
    <w:basedOn w:val="DefaultParagraphFont"/>
    <w:uiPriority w:val="99"/>
    <w:semiHidden/>
    <w:unhideWhenUsed/>
    <w:rsid w:val="006331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34110">
      <w:bodyDiv w:val="1"/>
      <w:marLeft w:val="0"/>
      <w:marRight w:val="0"/>
      <w:marTop w:val="0"/>
      <w:marBottom w:val="0"/>
      <w:divBdr>
        <w:top w:val="none" w:sz="0" w:space="0" w:color="auto"/>
        <w:left w:val="none" w:sz="0" w:space="0" w:color="auto"/>
        <w:bottom w:val="none" w:sz="0" w:space="0" w:color="auto"/>
        <w:right w:val="none" w:sz="0" w:space="0" w:color="auto"/>
      </w:divBdr>
      <w:divsChild>
        <w:div w:id="856843555">
          <w:marLeft w:val="0"/>
          <w:marRight w:val="0"/>
          <w:marTop w:val="0"/>
          <w:marBottom w:val="0"/>
          <w:divBdr>
            <w:top w:val="none" w:sz="0" w:space="0" w:color="auto"/>
            <w:left w:val="none" w:sz="0" w:space="0" w:color="auto"/>
            <w:bottom w:val="none" w:sz="0" w:space="0" w:color="auto"/>
            <w:right w:val="none" w:sz="0" w:space="0" w:color="auto"/>
          </w:divBdr>
          <w:divsChild>
            <w:div w:id="415251934">
              <w:marLeft w:val="0"/>
              <w:marRight w:val="0"/>
              <w:marTop w:val="0"/>
              <w:marBottom w:val="0"/>
              <w:divBdr>
                <w:top w:val="none" w:sz="0" w:space="0" w:color="auto"/>
                <w:left w:val="none" w:sz="0" w:space="0" w:color="auto"/>
                <w:bottom w:val="none" w:sz="0" w:space="0" w:color="auto"/>
                <w:right w:val="none" w:sz="0" w:space="0" w:color="auto"/>
              </w:divBdr>
            </w:div>
            <w:div w:id="1291591920">
              <w:marLeft w:val="0"/>
              <w:marRight w:val="0"/>
              <w:marTop w:val="0"/>
              <w:marBottom w:val="0"/>
              <w:divBdr>
                <w:top w:val="none" w:sz="0" w:space="0" w:color="auto"/>
                <w:left w:val="none" w:sz="0" w:space="0" w:color="auto"/>
                <w:bottom w:val="none" w:sz="0" w:space="0" w:color="auto"/>
                <w:right w:val="none" w:sz="0" w:space="0" w:color="auto"/>
              </w:divBdr>
              <w:divsChild>
                <w:div w:id="2834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opportunity-zones-frequently-asked-questions" TargetMode="External"/><Relationship Id="rId3" Type="http://schemas.openxmlformats.org/officeDocument/2006/relationships/webSettings" Target="webSettings.xml"/><Relationship Id="rId7" Type="http://schemas.openxmlformats.org/officeDocument/2006/relationships/hyperlink" Target="https://www.law.cornell.edu/uscode/text/26/1400Z-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s.gov/newsroom/opportunity-zones-frequently-asked-questionsw"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Organization</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Edgington</dc:creator>
  <cp:keywords/>
  <dc:description/>
  <cp:lastModifiedBy>Clint Edgington</cp:lastModifiedBy>
  <cp:revision>14</cp:revision>
  <cp:lastPrinted>2019-10-13T19:04:00Z</cp:lastPrinted>
  <dcterms:created xsi:type="dcterms:W3CDTF">2019-09-13T20:40:00Z</dcterms:created>
  <dcterms:modified xsi:type="dcterms:W3CDTF">2019-10-13T19:09:00Z</dcterms:modified>
</cp:coreProperties>
</file>